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0"/>
        <w:gridCol w:w="1665"/>
        <w:gridCol w:w="1416"/>
        <w:gridCol w:w="586"/>
        <w:gridCol w:w="9867"/>
      </w:tblGrid>
      <w:tr w:rsidR="0064697E" w:rsidRPr="0064697E" w:rsidTr="00F47D48">
        <w:tc>
          <w:tcPr>
            <w:tcW w:w="460" w:type="dxa"/>
            <w:shd w:val="clear" w:color="auto" w:fill="AEAAAA" w:themeFill="background2" w:themeFillShade="BF"/>
          </w:tcPr>
          <w:p w:rsidR="00CE109E" w:rsidRPr="0064697E" w:rsidRDefault="00CE109E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665" w:type="dxa"/>
            <w:shd w:val="clear" w:color="auto" w:fill="AEAAAA" w:themeFill="background2" w:themeFillShade="BF"/>
          </w:tcPr>
          <w:p w:rsidR="00CE109E" w:rsidRPr="0064697E" w:rsidRDefault="00CE109E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Kategoria produktów</w:t>
            </w:r>
          </w:p>
        </w:tc>
        <w:tc>
          <w:tcPr>
            <w:tcW w:w="1416" w:type="dxa"/>
            <w:shd w:val="clear" w:color="auto" w:fill="AEAAAA" w:themeFill="background2" w:themeFillShade="BF"/>
          </w:tcPr>
          <w:p w:rsidR="00CE109E" w:rsidRPr="0064697E" w:rsidRDefault="00CE109E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Nazwa produktu</w:t>
            </w:r>
          </w:p>
        </w:tc>
        <w:tc>
          <w:tcPr>
            <w:tcW w:w="586" w:type="dxa"/>
            <w:shd w:val="clear" w:color="auto" w:fill="AEAAAA" w:themeFill="background2" w:themeFillShade="BF"/>
          </w:tcPr>
          <w:p w:rsidR="00CE109E" w:rsidRPr="0064697E" w:rsidRDefault="00CE109E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9867" w:type="dxa"/>
            <w:shd w:val="clear" w:color="auto" w:fill="AEAAAA" w:themeFill="background2" w:themeFillShade="BF"/>
          </w:tcPr>
          <w:p w:rsidR="00CE109E" w:rsidRPr="0064697E" w:rsidRDefault="00CE109E" w:rsidP="0064697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Opis</w:t>
            </w:r>
          </w:p>
        </w:tc>
      </w:tr>
      <w:tr w:rsidR="00CE109E" w:rsidRPr="0064697E" w:rsidTr="00F47D48">
        <w:trPr>
          <w:trHeight w:val="70"/>
        </w:trPr>
        <w:tc>
          <w:tcPr>
            <w:tcW w:w="460" w:type="dxa"/>
          </w:tcPr>
          <w:p w:rsidR="00CE109E" w:rsidRPr="0064697E" w:rsidRDefault="00CE109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CE109E" w:rsidRPr="0064697E" w:rsidRDefault="00CE109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Komput</w:t>
            </w:r>
            <w:r w:rsidR="0064697E"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 stacjonarny</w:t>
            </w:r>
          </w:p>
        </w:tc>
        <w:tc>
          <w:tcPr>
            <w:tcW w:w="1416" w:type="dxa"/>
          </w:tcPr>
          <w:p w:rsidR="00CE109E" w:rsidRPr="0064697E" w:rsidRDefault="0064697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Komputer</w:t>
            </w:r>
          </w:p>
        </w:tc>
        <w:tc>
          <w:tcPr>
            <w:tcW w:w="586" w:type="dxa"/>
          </w:tcPr>
          <w:p w:rsidR="00CE109E" w:rsidRPr="0064697E" w:rsidRDefault="00AC78BA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67" w:type="dxa"/>
          </w:tcPr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Komputer stacjonarny (zestaw) powinien składać się z: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jednostki centralnej;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monitora ekranowego;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3) klawiatury w układzie QWERTY;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4) myszy komputerowej lub zewnętrznego gładzika;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5) mikrofonu;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6) kamery.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Jednostka centralna powinna spełniać następujące wymagania techniczne: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wydajność w teście: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CrossMark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– co najmniej 1400 punktów lub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Procyon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Office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Productivity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– co najmniej 5700 punktów, lub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Geekbench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6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Single-core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– co najmniej 3800 punktów oraz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multi-core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– co najmniej 14 000 punktów;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pamięć RAM – co najmniej 16 GB lub 8 GB w przypadku pamięci zunifikowanej;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3) pamięć masowa (SSD,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eMMC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, UFS) – co najmniej 256 GB;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4) złącza komunikacyjne – co najmniej 3 (w tym 1 złącze umożliwiające podłączenie wideo oraz 1 port obsługujący standard USB);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5) port LAN (RJ45);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6) zasilacz sieciowy przystosowany do polskiego systemu energetycznego.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Monitor ekranowy powinien spełniać następujące wymagania techniczne: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kolorowy wyświetlacz;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przekątna – co najmniej 21 cali (ok. 53,34 cm);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3) rozdzielczość – co najmniej 1920 × 1080 (1080 p);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4) kąt widzenia 178 stopni/178 stopni;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5) jasność co najmniej 250 cd/m</w:t>
            </w:r>
            <w:r w:rsidRPr="0064697E">
              <w:rPr>
                <w:rFonts w:asciiTheme="minorHAnsi" w:hAnsiTheme="minorHAnsi" w:cstheme="minorHAnsi"/>
                <w:sz w:val="13"/>
                <w:szCs w:val="13"/>
              </w:rPr>
              <w:t>2</w:t>
            </w: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6) matryca matowa (powłoka matująca) lub błyszcząca;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7) wbudowane głośniki stereo lub dostarczona przez producenta listwa głośnikowa;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8) regulacja pochylenia ekranu w przód i w tył.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Oprogramowanie zainstalowane na pamięci masowej lub udostępnione do nieodpłatnego pobrania przy rozpoczęciu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użyt-kowania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64-bitowy system operacyjny posiadający polską wersję językową (oprogramowanie dostępne w ramach zakupu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kom-putera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edytor tekstu z możliwością osadzania zewnętrznych obiektów i możliwością zapisywania plików również w formacie PDF;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3) arkusz kalkulacyjny;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4) aplikacja do tworzenia prezentacji;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5) przeglądarka internetowa; </w:t>
            </w:r>
          </w:p>
          <w:p w:rsidR="0064697E" w:rsidRPr="0064697E" w:rsidRDefault="0064697E" w:rsidP="0064697E">
            <w:pPr>
              <w:rPr>
                <w:rFonts w:cstheme="minorHAnsi"/>
                <w:sz w:val="20"/>
                <w:szCs w:val="20"/>
              </w:rPr>
            </w:pPr>
            <w:r w:rsidRPr="0064697E">
              <w:rPr>
                <w:rFonts w:cstheme="minorHAnsi"/>
                <w:sz w:val="20"/>
                <w:szCs w:val="20"/>
              </w:rPr>
              <w:t>6) aplikacja do obsługi poczty elektronicznej;</w:t>
            </w:r>
          </w:p>
          <w:p w:rsidR="0064697E" w:rsidRPr="0064697E" w:rsidRDefault="0064697E" w:rsidP="0064697E">
            <w:pPr>
              <w:rPr>
                <w:rFonts w:cstheme="minorHAnsi"/>
                <w:sz w:val="20"/>
                <w:szCs w:val="20"/>
              </w:rPr>
            </w:pPr>
            <w:r w:rsidRPr="0064697E">
              <w:rPr>
                <w:rFonts w:cstheme="minorHAnsi"/>
                <w:sz w:val="20"/>
                <w:szCs w:val="20"/>
              </w:rPr>
              <w:t xml:space="preserve">7) aplikacja do tworzenia i edycji grafiki rastrowej; </w:t>
            </w:r>
          </w:p>
          <w:p w:rsidR="0064697E" w:rsidRPr="0064697E" w:rsidRDefault="0064697E" w:rsidP="0064697E">
            <w:pPr>
              <w:rPr>
                <w:rFonts w:cstheme="minorHAnsi"/>
              </w:rPr>
            </w:pPr>
            <w:r w:rsidRPr="0064697E">
              <w:rPr>
                <w:rFonts w:cstheme="minorHAnsi"/>
                <w:sz w:val="20"/>
                <w:szCs w:val="20"/>
              </w:rPr>
              <w:t xml:space="preserve">8) aplikacja do tworzenia i edycji grafiki wektorowej;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9) środowisko do programowania adekwatne do etapu edukacyjnego;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10) edytor wideo;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11) edytor dźwięku;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12) oprogramowanie antywirusowe wraz z jego aktualizacją co roku do najnowszej wersji w okresie 5 lat od dnia rozpoczęcia użytkowania.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W przypadku potrzeby realizacji usług w zakresie AAC (komunikacji wspomagającej i alternatywnej) należy zapewnić oprogramowanie: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pozwalające wydrukować znaki graficzne i pomoce komunikacyjne oraz tworzyć tablice dynamiczne;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wspierające naukę obsługi przełączników;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3) wspierające naukę obsługi </w:t>
            </w:r>
            <w:proofErr w:type="spellStart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eyetrackerów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 (urządzeń do komunikacji z komputerem przy pomocy wzroku);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4) językowe </w:t>
            </w:r>
            <w:proofErr w:type="spellStart"/>
            <w:r w:rsidRPr="006469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text-to-speech</w:t>
            </w:r>
            <w:proofErr w:type="spellEnd"/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5) z możliwością zainstalowania dodatkowego czytnika ekranu lub oprogramowania powiększającego w zależności od potrzeb użytkownika.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Producent komputera stacjonarnego (zestawu) powinien posiadać: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certyfikat ISO 9001 systemu zarządzania jakością;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certyfikat ISO 14001 zarządzania środowiskiem.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Komputer stacjonarny (zestaw) powinien posiadać: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1) deklarację zgodności UE i oznakowanie CE; </w:t>
            </w:r>
          </w:p>
          <w:p w:rsidR="0064697E" w:rsidRPr="0064697E" w:rsidRDefault="0064697E" w:rsidP="006469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 xml:space="preserve">2) certyfikat TCO lub EPEAT. </w:t>
            </w:r>
          </w:p>
          <w:p w:rsidR="0064697E" w:rsidRPr="0064697E" w:rsidRDefault="0064697E" w:rsidP="00E657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sz w:val="20"/>
                <w:szCs w:val="20"/>
              </w:rPr>
              <w:t>Komputer stacjonarny (zestaw) powinien być objęty co najmniej 24-miesięcznym okresem gwarancji producenta. Serwis gwarancyjny powinien być zlokalizowany na terytorium Rzeczypospolitej Polskiej. W przypadku naprawy realizowanej poza miejscem użytkowania komputera stacjonarnego (zestawu) wszelkie koszty związane z dostarczeniem komputera stacjonarnego (zestawu) do serwisu i z powrotem do użytkownika powinny być pokryte przez gwaranta w ramach gwarancji. Wymogu gwarancji producenta nie stosuje się w przypadku, gdy szkoła lub organ prowadzący zapewni obsługę serwisową na co najmniej tych samych warunkach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E109E" w:rsidRPr="0064697E" w:rsidTr="00F47D48">
        <w:tc>
          <w:tcPr>
            <w:tcW w:w="460" w:type="dxa"/>
          </w:tcPr>
          <w:p w:rsidR="00CE109E" w:rsidRPr="0064697E" w:rsidRDefault="0064697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665" w:type="dxa"/>
          </w:tcPr>
          <w:p w:rsidR="00CE109E" w:rsidRPr="0064697E" w:rsidRDefault="0064697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1416" w:type="dxa"/>
          </w:tcPr>
          <w:p w:rsidR="00CE109E" w:rsidRPr="0064697E" w:rsidRDefault="0064697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Laptop</w:t>
            </w:r>
          </w:p>
        </w:tc>
        <w:tc>
          <w:tcPr>
            <w:tcW w:w="586" w:type="dxa"/>
          </w:tcPr>
          <w:p w:rsidR="00CE109E" w:rsidRPr="0064697E" w:rsidRDefault="0064697E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67" w:type="dxa"/>
          </w:tcPr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Laptop (opcjonalnie zestaw) powinien składać się z: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laptopa;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opcjonalnie myszy komputerowej lub zewnętrznego gładzika.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Laptop powinien spełniać następujące wymagania techniczne: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wydajność w teście: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proofErr w:type="spellStart"/>
            <w:r>
              <w:rPr>
                <w:sz w:val="20"/>
                <w:szCs w:val="20"/>
              </w:rPr>
              <w:t>CrossMark</w:t>
            </w:r>
            <w:proofErr w:type="spellEnd"/>
            <w:r>
              <w:rPr>
                <w:sz w:val="20"/>
                <w:szCs w:val="20"/>
              </w:rPr>
              <w:t xml:space="preserve"> – co najmniej 1400 punktów lub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proofErr w:type="spellStart"/>
            <w:r>
              <w:rPr>
                <w:sz w:val="20"/>
                <w:szCs w:val="20"/>
              </w:rPr>
              <w:t>Procyon</w:t>
            </w:r>
            <w:proofErr w:type="spellEnd"/>
            <w:r>
              <w:rPr>
                <w:sz w:val="20"/>
                <w:szCs w:val="20"/>
              </w:rPr>
              <w:t xml:space="preserve"> Office </w:t>
            </w:r>
            <w:proofErr w:type="spellStart"/>
            <w:r>
              <w:rPr>
                <w:sz w:val="20"/>
                <w:szCs w:val="20"/>
              </w:rPr>
              <w:t>Productivity</w:t>
            </w:r>
            <w:proofErr w:type="spellEnd"/>
            <w:r>
              <w:rPr>
                <w:sz w:val="20"/>
                <w:szCs w:val="20"/>
              </w:rPr>
              <w:t xml:space="preserve"> – co najmniej 5700 punktów, lub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proofErr w:type="spellStart"/>
            <w:r>
              <w:rPr>
                <w:sz w:val="20"/>
                <w:szCs w:val="20"/>
              </w:rPr>
              <w:t>Geekbench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Single-core</w:t>
            </w:r>
            <w:proofErr w:type="spellEnd"/>
            <w:r>
              <w:rPr>
                <w:sz w:val="20"/>
                <w:szCs w:val="20"/>
              </w:rPr>
              <w:t xml:space="preserve"> – co najmniej 2300 punktów oraz </w:t>
            </w:r>
            <w:proofErr w:type="spellStart"/>
            <w:r>
              <w:rPr>
                <w:sz w:val="20"/>
                <w:szCs w:val="20"/>
              </w:rPr>
              <w:t>multi-core</w:t>
            </w:r>
            <w:proofErr w:type="spellEnd"/>
            <w:r>
              <w:rPr>
                <w:sz w:val="20"/>
                <w:szCs w:val="20"/>
              </w:rPr>
              <w:t xml:space="preserve"> – co najmniej 8700 punktów; </w:t>
            </w:r>
          </w:p>
          <w:p w:rsidR="00CE109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pamięć RAM– co najmniej 16 GB lub 8 GB w przypadku pamięci zunifikowanej;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pamięć masowa (SSD, </w:t>
            </w:r>
            <w:proofErr w:type="spellStart"/>
            <w:r>
              <w:rPr>
                <w:sz w:val="20"/>
                <w:szCs w:val="20"/>
              </w:rPr>
              <w:t>eMMC</w:t>
            </w:r>
            <w:proofErr w:type="spellEnd"/>
            <w:r>
              <w:rPr>
                <w:sz w:val="20"/>
                <w:szCs w:val="20"/>
              </w:rPr>
              <w:t xml:space="preserve">, UFS) – co najmniej 512 GB;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złącza komunikacyjne – co najmniej 2 (w tym 1 złącze umożliwiające podłączenie wideo oraz 1 port obsługujący standard USB);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klawiatura w układzie QWERTY;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zasilacz sieciowy przystosowany do polskiego systemu energetycznego;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bateria;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czas pracy laptopa przy zasilaniu bateryjnym i średnim obciążeniu powinien wynosić co najmniej 6 godzin;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Wi-Fi – co najmniej wersja 6;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Bluetooth – co najmniej wersja 5;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ekran: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kolorowy wyświetlacz,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przekątna – co najmniej 13 cali (ok. 33,02 cm),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rozdzielczość – co najmniej 1920 × 1080 (1080 p),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jasność co najmniej 250 cd/m2,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matryca matowa (powłoka matująca) lub błyszcząca;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wbudowany mikrofon;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wbudowana kamera;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wbudowane głośniki stereo;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waga laptopa wraz z baterią nie powinna przekraczać 2,5 kg;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wbudowane mechanizmy bezpieczeństwa dostępu do danych.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zainstalowane na pamięci masowej lub udostępnione do nieodpłatnego pobrania przy rozpoczęciu użytkowania: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64-bitowy system operacyjny posiadający polską wersję językową (oprogramowanie dostępne w ramach zakupu </w:t>
            </w:r>
            <w:proofErr w:type="spellStart"/>
            <w:r>
              <w:rPr>
                <w:sz w:val="20"/>
                <w:szCs w:val="20"/>
              </w:rPr>
              <w:t>lap-topa</w:t>
            </w:r>
            <w:proofErr w:type="spellEnd"/>
            <w:r>
              <w:rPr>
                <w:sz w:val="20"/>
                <w:szCs w:val="20"/>
              </w:rPr>
              <w:t xml:space="preserve">);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edytor tekstu z możliwością osadzania zewnętrznych obiektów i możliwością zapisywania plików również w formacie PDF;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arkusz kalkulacyjny;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aplikacja do tworzenia prezentacji;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przeglądarka internetowa;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aplikacja do obsługi poczty elektronicznej;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aplikacja do tworzenia i edycji grafiki rastrowej;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aplikacja do tworzenia i edycji grafiki wektorowej; </w:t>
            </w:r>
          </w:p>
          <w:p w:rsidR="0064697E" w:rsidRDefault="0036518D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4697E">
              <w:rPr>
                <w:sz w:val="20"/>
                <w:szCs w:val="20"/>
              </w:rPr>
              <w:t xml:space="preserve">) narzędzia do programowania;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518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) edytor wideo;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651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) edytor dźwięku; </w:t>
            </w:r>
          </w:p>
          <w:p w:rsidR="0064697E" w:rsidRDefault="0064697E" w:rsidP="0064697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51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oprogramowanie antywirusowe wraz z jego aktualizacją co roku do najnowszej wersji w okresie 5 lat od dnia rozpoczęcia użytkowania.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potrzeby realizacji usług w zakresie AAC (komunikacji wspomagającej i alternatywnej) należy zapewnić oprogramowanie: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pozwalające wydrukować znaki graficzne i pomoce komunikacyjne oraz tworzyć tablice dynamiczne;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wspierające naukę obsługi przełączników;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wspierające naukę obsługi </w:t>
            </w:r>
            <w:proofErr w:type="spellStart"/>
            <w:r>
              <w:rPr>
                <w:sz w:val="20"/>
                <w:szCs w:val="20"/>
              </w:rPr>
              <w:t>eyetrackerów</w:t>
            </w:r>
            <w:proofErr w:type="spellEnd"/>
            <w:r>
              <w:rPr>
                <w:sz w:val="20"/>
                <w:szCs w:val="20"/>
              </w:rPr>
              <w:t xml:space="preserve"> (urządzeń do komunikacji z komputerem przy pomocy wzroku);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językowe </w:t>
            </w:r>
            <w:proofErr w:type="spellStart"/>
            <w:r>
              <w:rPr>
                <w:i/>
                <w:iCs/>
                <w:sz w:val="20"/>
                <w:szCs w:val="20"/>
              </w:rPr>
              <w:t>text-to-speech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z możliwością zainstalowania dodatkowego czytnika ekranu lub oprogramowania powiększającego w zależności od potrzeb użytkownika.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laptopa (opcjonalnie zestawu) powinien posiadać: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certyfikat ISO 9001 systemu zarządzania jakością;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certyfikat ISO 14001 zarządzania środowiskiem.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Laptop (opcjonalnie zestaw) powinien posiadać: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deklarację zgodności UE i oznakowanie CE;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certyfikat TCO lub EPEAT. </w:t>
            </w:r>
          </w:p>
          <w:p w:rsidR="004E666B" w:rsidRDefault="004E666B" w:rsidP="004E66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Laptop (opcjonalnie zestaw) powinien być objęty co najmniej 24-miesięcznym okresem gwarancji producenta. Serwis gwarancyjny powinien być zlokalizowany na terytorium Rzeczypospolitej Polskiej. W przypadku naprawy realizowanej poza miejscem użytkowania laptopa (opcjonalnie zestawu) wszelkie koszty związane z dostarczeniem laptopa (opcjonalnie ze-stawu) do serwisu i z powrotem do użytkownika powinny być pokryte przez gwaranta w ramach gwarancji. Wymogu gwarancji producenta nie stosuje się w przypadku, gdy szkoła lub organ prowadzący zapewni obsługę serwisową na co najmniej tych samych warunkach. </w:t>
            </w:r>
          </w:p>
          <w:p w:rsidR="004E666B" w:rsidRPr="0064697E" w:rsidRDefault="004E666B" w:rsidP="004E666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09E" w:rsidRPr="0064697E" w:rsidTr="00F47D48">
        <w:tc>
          <w:tcPr>
            <w:tcW w:w="460" w:type="dxa"/>
          </w:tcPr>
          <w:p w:rsidR="00CE109E" w:rsidRPr="0036518D" w:rsidRDefault="0036518D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5" w:type="dxa"/>
          </w:tcPr>
          <w:p w:rsidR="00CE109E" w:rsidRPr="0036518D" w:rsidRDefault="0036518D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1416" w:type="dxa"/>
          </w:tcPr>
          <w:p w:rsidR="00CE109E" w:rsidRPr="0036518D" w:rsidRDefault="0036518D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5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586" w:type="dxa"/>
          </w:tcPr>
          <w:p w:rsidR="00CE109E" w:rsidRPr="0036518D" w:rsidRDefault="00AC78BA" w:rsidP="00E657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67" w:type="dxa"/>
          </w:tcPr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Tablet powinien spełniać następujące wymagania techniczne: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wydajność w teście: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proofErr w:type="spellStart"/>
            <w:r>
              <w:rPr>
                <w:sz w:val="20"/>
                <w:szCs w:val="20"/>
              </w:rPr>
              <w:t>CrossMark</w:t>
            </w:r>
            <w:proofErr w:type="spellEnd"/>
            <w:r>
              <w:rPr>
                <w:sz w:val="20"/>
                <w:szCs w:val="20"/>
              </w:rPr>
              <w:t xml:space="preserve"> – co najmniej 700 punktów lub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proofErr w:type="spellStart"/>
            <w:r>
              <w:rPr>
                <w:sz w:val="20"/>
                <w:szCs w:val="20"/>
              </w:rPr>
              <w:t>Geekbench</w:t>
            </w:r>
            <w:proofErr w:type="spellEnd"/>
            <w:r>
              <w:rPr>
                <w:sz w:val="20"/>
                <w:szCs w:val="20"/>
              </w:rPr>
              <w:t xml:space="preserve"> – co najmniej 2500 (</w:t>
            </w:r>
            <w:proofErr w:type="spellStart"/>
            <w:r>
              <w:rPr>
                <w:sz w:val="20"/>
                <w:szCs w:val="20"/>
              </w:rPr>
              <w:t>multi-core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score</w:t>
            </w:r>
            <w:proofErr w:type="spellEnd"/>
            <w:r>
              <w:rPr>
                <w:sz w:val="20"/>
                <w:szCs w:val="20"/>
              </w:rPr>
              <w:t xml:space="preserve">) punktów;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pamięć masowa (SSD, </w:t>
            </w:r>
            <w:proofErr w:type="spellStart"/>
            <w:r>
              <w:rPr>
                <w:sz w:val="20"/>
                <w:szCs w:val="20"/>
              </w:rPr>
              <w:t>eMMC</w:t>
            </w:r>
            <w:proofErr w:type="spellEnd"/>
            <w:r>
              <w:rPr>
                <w:sz w:val="20"/>
                <w:szCs w:val="20"/>
              </w:rPr>
              <w:t xml:space="preserve">, UFS) – co najmniej 64 GB;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uniwersalny port komunikacyjny;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zasilacz sieciowy przystosowany do polskiego systemu energetycznego;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bateria;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czas pracy tabletu przy zasilaniu bateryjnym i średnim obciążeniu powinien wynosić co najmniej 10 godzin;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Wi-Fi – co najmniej wersja 6;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Bluetooth – co najmniej wersja 5;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9) ekran: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kolorowy wyświetlacz,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przekątna – co najmniej 8 cali (ok. 20,32 cm),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rozdzielczość – co najmniej 1920 × 1080 (1080 p); </w:t>
            </w:r>
          </w:p>
          <w:p w:rsidR="00CE109E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wbudowany mikrofon;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wbudowana kamera;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wbudowane głośniki stereo;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waga tabletu wraz z baterią (bez dodatkowych akcesoriów) nie powinna przekraczać 1 kg;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wbudowane mechanizmy bezpieczeństwa wspierane przez zainstalowany system operacyjny lub możliwość </w:t>
            </w:r>
            <w:proofErr w:type="spellStart"/>
            <w:r>
              <w:rPr>
                <w:sz w:val="20"/>
                <w:szCs w:val="20"/>
              </w:rPr>
              <w:t>urucho-mienia</w:t>
            </w:r>
            <w:proofErr w:type="spellEnd"/>
            <w:r>
              <w:rPr>
                <w:sz w:val="20"/>
                <w:szCs w:val="20"/>
              </w:rPr>
              <w:t xml:space="preserve"> mechanizmów bezpieczeństwa dostępu do danych, obejmująca co najmniej wbudowaną w system operacyjny możliwość: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ustawienia hasła do odblokowania tabletu,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szyfrowania pamięci masowej tabletu.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zainstalowane na pamięci masowej lub udostępnione do nieodpłatnego pobrania przy rozpoczęciu </w:t>
            </w:r>
            <w:proofErr w:type="spellStart"/>
            <w:r>
              <w:rPr>
                <w:sz w:val="20"/>
                <w:szCs w:val="20"/>
              </w:rPr>
              <w:t>użyt-kowania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64-bitowy system operacyjny posiadający polską wersję językową (oprogramowanie dostępne w ramach zakupu tabletu);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edytor tekstu z możliwością osadzania zewnętrznych obiektów i możliwością zapisywania plików również w formacie PDF;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arkusz kalkulacyjny;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aplikacja do tworzenia prezentacji;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przeglądarka internetowa;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aplikacja do obsługi poczty elektronicznej;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aplikacja do tworzenia i edycji grafiki rastrowej;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aplikacja do tworzenia i edycji grafiki wektorowej;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środowisko do programowania adekwatne do etapu edukacyjnego;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edytor wideo;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edytor dźwięku;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oprogramowanie antywirusowe wraz z jego aktualizacją co roku do najnowszej wersji w okresie 5 lat od dnia rozpoczęcia użytkowania lub inne rozwiązania systemowe minimalizujące ryzyko uruchomienia niebezpiecznego oprogramowania na tablecie.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potrzeby realizacji usług w zakresie AAC (komunikacji wspomagającej i alternatywnej) należy zapewnić oprogramowanie: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pozwalające wydrukować znaki graficzne i pomoce komunikacyjne oraz tworzyć tablice dynamiczne;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wspierające naukę obsługi przełączników;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wspierające naukę obsługi </w:t>
            </w:r>
            <w:proofErr w:type="spellStart"/>
            <w:r>
              <w:rPr>
                <w:sz w:val="20"/>
                <w:szCs w:val="20"/>
              </w:rPr>
              <w:t>eyetrackerów</w:t>
            </w:r>
            <w:proofErr w:type="spellEnd"/>
            <w:r>
              <w:rPr>
                <w:sz w:val="20"/>
                <w:szCs w:val="20"/>
              </w:rPr>
              <w:t xml:space="preserve"> (urządzeń do komunikacji z komputerem przy pomocy wzroku);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językowe </w:t>
            </w:r>
            <w:proofErr w:type="spellStart"/>
            <w:r>
              <w:rPr>
                <w:i/>
                <w:iCs/>
                <w:sz w:val="20"/>
                <w:szCs w:val="20"/>
              </w:rPr>
              <w:t>text-to-speech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5) z możliwością zainstalowania dodatkowego czytnika ekranu lub oprogramowania powiększającego w zależności od potrzeb użytkownika.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Oprogramowanie powinno być zaktualizowane do wersji wspieranej przez twórców i być kompatybilne z technologiami asystującymi.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tabletu powinien posiadać: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certyfikat ISO 9001 systemu zarządzania jakością; 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certyfikat ISO 14001 zarządzania środowiskiem.</w:t>
            </w:r>
          </w:p>
          <w:p w:rsidR="0036518D" w:rsidRDefault="0036518D" w:rsidP="003651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Tablet powinien posiadać deklarację zgodności UE i oznakowanie CE. </w:t>
            </w:r>
          </w:p>
          <w:p w:rsidR="0036518D" w:rsidRPr="0064697E" w:rsidRDefault="0036518D" w:rsidP="003651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Tablet powinien być objęty co najmniej 24-miesięcznym okresem gwarancji producenta. Serwis gwarancyjny powinien być zlokalizowany na terytorium Rzeczypospolitej Polskiej. W przypadku naprawy realizowanej poza miejscem użytkowania tabletu wszelkie koszty związane z dostarczeniem tabletu do serwisu i z powrotem do użytkownika powinny być pokryte przez gwaranta w ramach gwarancji. Wymogu gwarancji producenta nie stosuje się w przypadku, gdy szkoła lub organ prowadzący zapewni obsługę serwisową na co najmniej tych samych warunkach.</w:t>
            </w:r>
          </w:p>
        </w:tc>
      </w:tr>
    </w:tbl>
    <w:p w:rsidR="00E657F1" w:rsidRPr="0064697E" w:rsidRDefault="00E657F1">
      <w:pPr>
        <w:rPr>
          <w:rFonts w:cstheme="minorHAnsi"/>
        </w:rPr>
      </w:pPr>
    </w:p>
    <w:p w:rsidR="00E657F1" w:rsidRPr="0064697E" w:rsidRDefault="00E657F1">
      <w:pPr>
        <w:rPr>
          <w:rFonts w:cstheme="minorHAnsi"/>
        </w:rPr>
      </w:pPr>
    </w:p>
    <w:p w:rsidR="00E657F1" w:rsidRDefault="00E657F1"/>
    <w:p w:rsidR="00E657F1" w:rsidRDefault="00E657F1"/>
    <w:p w:rsidR="00E657F1" w:rsidRDefault="00E657F1"/>
    <w:p w:rsidR="00E657F1" w:rsidRDefault="00E657F1"/>
    <w:p w:rsidR="00E657F1" w:rsidRDefault="00E657F1"/>
    <w:p w:rsidR="00E657F1" w:rsidRDefault="00E657F1"/>
    <w:sectPr w:rsidR="00E657F1" w:rsidSect="00CE10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510" w:rsidRDefault="007C1510" w:rsidP="00F16A00">
      <w:pPr>
        <w:spacing w:after="0" w:line="240" w:lineRule="auto"/>
      </w:pPr>
      <w:r>
        <w:separator/>
      </w:r>
    </w:p>
  </w:endnote>
  <w:endnote w:type="continuationSeparator" w:id="0">
    <w:p w:rsidR="007C1510" w:rsidRDefault="007C1510" w:rsidP="00F1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510" w:rsidRDefault="007C1510" w:rsidP="00F16A00">
      <w:pPr>
        <w:spacing w:after="0" w:line="240" w:lineRule="auto"/>
      </w:pPr>
      <w:r>
        <w:separator/>
      </w:r>
    </w:p>
  </w:footnote>
  <w:footnote w:type="continuationSeparator" w:id="0">
    <w:p w:rsidR="007C1510" w:rsidRDefault="007C1510" w:rsidP="00F1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00" w:rsidRDefault="00F16A00">
    <w:pPr>
      <w:pStyle w:val="Nagwek"/>
    </w:pPr>
    <w:r>
      <w:t>Załącznik nr 1</w:t>
    </w:r>
    <w:r w:rsidR="00272209">
      <w:t>.2 Szczegółowy wykaz przedmiotu zamówienia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08"/>
    <w:rsid w:val="00076A08"/>
    <w:rsid w:val="000832E6"/>
    <w:rsid w:val="000A249D"/>
    <w:rsid w:val="000C5515"/>
    <w:rsid w:val="000D59EB"/>
    <w:rsid w:val="00183BE6"/>
    <w:rsid w:val="001A0F0F"/>
    <w:rsid w:val="001B4170"/>
    <w:rsid w:val="001C6F7F"/>
    <w:rsid w:val="001C7E51"/>
    <w:rsid w:val="001D2521"/>
    <w:rsid w:val="001D5C29"/>
    <w:rsid w:val="002211FF"/>
    <w:rsid w:val="00230E84"/>
    <w:rsid w:val="00272209"/>
    <w:rsid w:val="002B133C"/>
    <w:rsid w:val="002C48FA"/>
    <w:rsid w:val="0031152A"/>
    <w:rsid w:val="0036518D"/>
    <w:rsid w:val="003B4469"/>
    <w:rsid w:val="00451150"/>
    <w:rsid w:val="00485228"/>
    <w:rsid w:val="0049539E"/>
    <w:rsid w:val="004D0AAF"/>
    <w:rsid w:val="004E45FB"/>
    <w:rsid w:val="004E666B"/>
    <w:rsid w:val="00532C62"/>
    <w:rsid w:val="005A391D"/>
    <w:rsid w:val="005F3DBA"/>
    <w:rsid w:val="0064697E"/>
    <w:rsid w:val="00711CB8"/>
    <w:rsid w:val="007267F9"/>
    <w:rsid w:val="007A2700"/>
    <w:rsid w:val="007C1510"/>
    <w:rsid w:val="007C3AEE"/>
    <w:rsid w:val="007D7DE9"/>
    <w:rsid w:val="008B6D70"/>
    <w:rsid w:val="008D78DB"/>
    <w:rsid w:val="00912F28"/>
    <w:rsid w:val="00952D83"/>
    <w:rsid w:val="009B77D1"/>
    <w:rsid w:val="00A12761"/>
    <w:rsid w:val="00AC78BA"/>
    <w:rsid w:val="00B03FF9"/>
    <w:rsid w:val="00BE5984"/>
    <w:rsid w:val="00C0129C"/>
    <w:rsid w:val="00C626A5"/>
    <w:rsid w:val="00CE109E"/>
    <w:rsid w:val="00D96794"/>
    <w:rsid w:val="00DA4F02"/>
    <w:rsid w:val="00DD65B3"/>
    <w:rsid w:val="00E657F1"/>
    <w:rsid w:val="00E87335"/>
    <w:rsid w:val="00F16A00"/>
    <w:rsid w:val="00F47D48"/>
    <w:rsid w:val="00F77108"/>
    <w:rsid w:val="00FA0850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9EB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B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9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6794"/>
    <w:rPr>
      <w:b/>
      <w:bCs/>
    </w:rPr>
  </w:style>
  <w:style w:type="character" w:customStyle="1" w:styleId="x193iq5w">
    <w:name w:val="x193iq5w"/>
    <w:basedOn w:val="Domylnaczcionkaakapitu"/>
    <w:rsid w:val="008D78D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B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6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1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00"/>
  </w:style>
  <w:style w:type="paragraph" w:styleId="Stopka">
    <w:name w:val="footer"/>
    <w:basedOn w:val="Normalny"/>
    <w:link w:val="StopkaZnak"/>
    <w:uiPriority w:val="99"/>
    <w:unhideWhenUsed/>
    <w:rsid w:val="00F1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8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7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cp:lastPrinted>2022-09-30T07:43:00Z</cp:lastPrinted>
  <dcterms:created xsi:type="dcterms:W3CDTF">2025-11-17T08:54:00Z</dcterms:created>
  <dcterms:modified xsi:type="dcterms:W3CDTF">2025-11-17T08:54:00Z</dcterms:modified>
</cp:coreProperties>
</file>